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85" w:rsidRDefault="00420288">
      <w:pPr>
        <w:jc w:val="center"/>
        <w:rPr>
          <w:b/>
        </w:rPr>
      </w:pPr>
      <w:r>
        <w:rPr>
          <w:b/>
        </w:rPr>
        <w:t xml:space="preserve">Тема 16 </w:t>
      </w:r>
      <w:r w:rsidR="009B21A6">
        <w:rPr>
          <w:b/>
        </w:rPr>
        <w:t>О</w:t>
      </w:r>
      <w:r w:rsidR="009B21A6" w:rsidRPr="009B21A6">
        <w:rPr>
          <w:b/>
        </w:rPr>
        <w:t>рнаментика</w:t>
      </w:r>
      <w:r w:rsidR="009B21A6">
        <w:rPr>
          <w:b/>
        </w:rPr>
        <w:t xml:space="preserve">. </w:t>
      </w:r>
      <w:r>
        <w:rPr>
          <w:b/>
        </w:rPr>
        <w:t>Мелизмы.</w:t>
      </w:r>
    </w:p>
    <w:p w:rsidR="004B7D85" w:rsidRDefault="004B7D85">
      <w:pPr>
        <w:jc w:val="center"/>
        <w:rPr>
          <w:b/>
        </w:rPr>
      </w:pPr>
    </w:p>
    <w:p w:rsidR="009B21A6" w:rsidRPr="009B21A6" w:rsidRDefault="009B21A6" w:rsidP="009B21A6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B21A6">
        <w:rPr>
          <w:sz w:val="22"/>
          <w:szCs w:val="22"/>
        </w:rPr>
        <w:t>Музыка – это искусство красоты звука</w:t>
      </w:r>
      <w:r w:rsidRPr="009B21A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CC6F80">
        <w:rPr>
          <w:sz w:val="22"/>
          <w:szCs w:val="22"/>
        </w:rPr>
        <w:t xml:space="preserve">Термин «орнаментика» </w:t>
      </w:r>
      <w:r w:rsidR="00CC6F80">
        <w:rPr>
          <w:sz w:val="22"/>
          <w:szCs w:val="22"/>
        </w:rPr>
        <w:t>(</w:t>
      </w:r>
      <w:r w:rsidRPr="00CC6F80">
        <w:rPr>
          <w:sz w:val="22"/>
          <w:szCs w:val="22"/>
        </w:rPr>
        <w:t xml:space="preserve">от латинского слова </w:t>
      </w:r>
      <w:proofErr w:type="spellStart"/>
      <w:r w:rsidRPr="00CC6F80">
        <w:rPr>
          <w:sz w:val="22"/>
          <w:szCs w:val="22"/>
        </w:rPr>
        <w:t>ornamentum</w:t>
      </w:r>
      <w:proofErr w:type="spellEnd"/>
      <w:r w:rsidR="00CC6F80">
        <w:rPr>
          <w:sz w:val="22"/>
          <w:szCs w:val="22"/>
        </w:rPr>
        <w:t>,</w:t>
      </w:r>
      <w:r w:rsidRPr="00CC6F80">
        <w:rPr>
          <w:sz w:val="22"/>
          <w:szCs w:val="22"/>
        </w:rPr>
        <w:t xml:space="preserve"> переводится, как украшение</w:t>
      </w:r>
      <w:r w:rsidR="00CC6F80">
        <w:rPr>
          <w:sz w:val="22"/>
          <w:szCs w:val="22"/>
        </w:rPr>
        <w:t>)</w:t>
      </w:r>
      <w:r w:rsidRPr="00CC6F80">
        <w:rPr>
          <w:sz w:val="22"/>
          <w:szCs w:val="22"/>
        </w:rPr>
        <w:t xml:space="preserve">. В музыкальной практике к орнаментике относят разнообразные способы, позволяющие украсить мелодию при помощи вспомогательных </w:t>
      </w:r>
      <w:r w:rsidR="00CC6F80">
        <w:rPr>
          <w:sz w:val="22"/>
          <w:szCs w:val="22"/>
        </w:rPr>
        <w:t>звук</w:t>
      </w:r>
      <w:r w:rsidRPr="00CC6F80">
        <w:rPr>
          <w:sz w:val="22"/>
          <w:szCs w:val="22"/>
        </w:rPr>
        <w:t xml:space="preserve">ов. </w:t>
      </w:r>
      <w:r w:rsidR="00CC6F80">
        <w:rPr>
          <w:sz w:val="22"/>
          <w:szCs w:val="22"/>
        </w:rPr>
        <w:t>Эти музыка</w:t>
      </w:r>
      <w:r w:rsidRPr="00CC6F80">
        <w:rPr>
          <w:sz w:val="22"/>
          <w:szCs w:val="22"/>
        </w:rPr>
        <w:t xml:space="preserve">льные фигуры имеют название </w:t>
      </w:r>
      <w:proofErr w:type="spellStart"/>
      <w:r w:rsidRPr="00CC6F80">
        <w:rPr>
          <w:sz w:val="22"/>
          <w:szCs w:val="22"/>
        </w:rPr>
        <w:t>орнаментирование</w:t>
      </w:r>
      <w:proofErr w:type="spellEnd"/>
      <w:r w:rsidRPr="00CC6F80">
        <w:rPr>
          <w:sz w:val="22"/>
          <w:szCs w:val="22"/>
        </w:rPr>
        <w:t>, к ним относятся:</w:t>
      </w:r>
    </w:p>
    <w:p w:rsidR="009B21A6" w:rsidRPr="009B21A6" w:rsidRDefault="009B21A6" w:rsidP="009B21A6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B21A6">
        <w:rPr>
          <w:b/>
          <w:sz w:val="22"/>
          <w:szCs w:val="22"/>
        </w:rPr>
        <w:t xml:space="preserve">фигурации – </w:t>
      </w:r>
      <w:r w:rsidRPr="00CC6F80">
        <w:rPr>
          <w:sz w:val="22"/>
          <w:szCs w:val="22"/>
        </w:rPr>
        <w:t>способ фактурной обработки музыкального материала, вариационный метод развития;</w:t>
      </w:r>
    </w:p>
    <w:p w:rsidR="009B21A6" w:rsidRPr="00CC6F80" w:rsidRDefault="00CC6F80" w:rsidP="009B21A6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мелизмы или </w:t>
      </w:r>
      <w:r w:rsidRPr="009B21A6">
        <w:rPr>
          <w:b/>
          <w:sz w:val="22"/>
          <w:szCs w:val="22"/>
        </w:rPr>
        <w:t>фиоритуры –</w:t>
      </w:r>
      <w:r w:rsidR="009B21A6" w:rsidRPr="009B21A6">
        <w:rPr>
          <w:b/>
          <w:sz w:val="22"/>
          <w:szCs w:val="22"/>
        </w:rPr>
        <w:t xml:space="preserve"> </w:t>
      </w:r>
      <w:r w:rsidR="009B21A6" w:rsidRPr="00CC6F80">
        <w:rPr>
          <w:sz w:val="22"/>
          <w:szCs w:val="22"/>
        </w:rPr>
        <w:t>виртуозные пассажи мелкими длительностями;</w:t>
      </w:r>
    </w:p>
    <w:p w:rsidR="009B21A6" w:rsidRPr="00CC6F80" w:rsidRDefault="009B21A6" w:rsidP="009B21A6">
      <w:pPr>
        <w:shd w:val="clear" w:color="auto" w:fill="FFFFFF"/>
        <w:ind w:firstLine="708"/>
        <w:jc w:val="both"/>
        <w:rPr>
          <w:sz w:val="22"/>
          <w:szCs w:val="22"/>
        </w:rPr>
      </w:pPr>
      <w:r w:rsidRPr="009B21A6">
        <w:rPr>
          <w:b/>
          <w:sz w:val="22"/>
          <w:szCs w:val="22"/>
        </w:rPr>
        <w:t xml:space="preserve">пассажи – </w:t>
      </w:r>
      <w:r w:rsidR="00CC6F80">
        <w:rPr>
          <w:sz w:val="22"/>
          <w:szCs w:val="22"/>
        </w:rPr>
        <w:t>гаммообразное движение.</w:t>
      </w:r>
    </w:p>
    <w:p w:rsidR="00CC6F80" w:rsidRDefault="00CC6F80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 w:rsidRPr="005D0CBD">
        <w:rPr>
          <w:b/>
          <w:sz w:val="22"/>
          <w:szCs w:val="22"/>
        </w:rPr>
        <w:t>Мелизмы</w:t>
      </w:r>
      <w:r>
        <w:rPr>
          <w:sz w:val="22"/>
          <w:szCs w:val="22"/>
        </w:rPr>
        <w:t xml:space="preserve"> (мелос </w:t>
      </w:r>
      <w:r>
        <w:rPr>
          <w:sz w:val="22"/>
          <w:szCs w:val="22"/>
        </w:rPr>
        <w:t xml:space="preserve">в переводе с греческого значит песнь, мелодия) – это мелодические фигуры, украшающие основные звуки мелодии. </w:t>
      </w:r>
      <w:r w:rsidR="005D0CBD">
        <w:rPr>
          <w:sz w:val="22"/>
          <w:szCs w:val="22"/>
        </w:rPr>
        <w:t xml:space="preserve">По </w:t>
      </w:r>
      <w:proofErr w:type="spellStart"/>
      <w:r w:rsidR="005D0CBD">
        <w:rPr>
          <w:sz w:val="22"/>
          <w:szCs w:val="22"/>
        </w:rPr>
        <w:t>итальянски</w:t>
      </w:r>
      <w:proofErr w:type="spellEnd"/>
      <w:r w:rsidR="005D0CBD">
        <w:rPr>
          <w:sz w:val="22"/>
          <w:szCs w:val="22"/>
        </w:rPr>
        <w:t xml:space="preserve"> их называют </w:t>
      </w:r>
      <w:r w:rsidR="005D0CBD" w:rsidRPr="005D0CBD">
        <w:rPr>
          <w:b/>
          <w:bCs/>
          <w:sz w:val="22"/>
          <w:szCs w:val="22"/>
        </w:rPr>
        <w:t>фиоритуры</w:t>
      </w:r>
      <w:r w:rsidR="005D0CBD">
        <w:rPr>
          <w:sz w:val="22"/>
          <w:szCs w:val="22"/>
        </w:rPr>
        <w:t xml:space="preserve"> </w:t>
      </w:r>
      <w:r w:rsidR="005D0CBD" w:rsidRPr="005D0CBD">
        <w:rPr>
          <w:sz w:val="22"/>
          <w:szCs w:val="22"/>
        </w:rPr>
        <w:t>(итал. </w:t>
      </w:r>
      <w:proofErr w:type="spellStart"/>
      <w:r w:rsidR="005D0CBD" w:rsidRPr="009B21A6">
        <w:rPr>
          <w:bCs/>
          <w:sz w:val="22"/>
          <w:szCs w:val="22"/>
        </w:rPr>
        <w:t>fioritura</w:t>
      </w:r>
      <w:proofErr w:type="spellEnd"/>
      <w:r w:rsidR="005D0CBD" w:rsidRPr="005D0CBD">
        <w:rPr>
          <w:sz w:val="22"/>
          <w:szCs w:val="22"/>
        </w:rPr>
        <w:t xml:space="preserve"> </w:t>
      </w:r>
      <w:r w:rsidR="009B21A6">
        <w:rPr>
          <w:sz w:val="22"/>
          <w:szCs w:val="22"/>
        </w:rPr>
        <w:t>значит</w:t>
      </w:r>
      <w:r w:rsidR="005D0CBD" w:rsidRPr="005D0CBD">
        <w:rPr>
          <w:sz w:val="22"/>
          <w:szCs w:val="22"/>
        </w:rPr>
        <w:t xml:space="preserve"> расцветка). </w:t>
      </w:r>
      <w:r>
        <w:rPr>
          <w:sz w:val="22"/>
          <w:szCs w:val="22"/>
        </w:rPr>
        <w:t>Обозначаются особыми знаками или мелкими нотами. Получили наибольше</w:t>
      </w:r>
      <w:r>
        <w:rPr>
          <w:sz w:val="22"/>
          <w:szCs w:val="22"/>
        </w:rPr>
        <w:t xml:space="preserve">е распространение 4 вида мелизмов: </w:t>
      </w:r>
      <w:r>
        <w:rPr>
          <w:i/>
          <w:sz w:val="22"/>
          <w:szCs w:val="22"/>
        </w:rPr>
        <w:t>форшлаг, мордент, группетто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трель</w:t>
      </w:r>
      <w:r>
        <w:rPr>
          <w:sz w:val="22"/>
          <w:szCs w:val="22"/>
        </w:rPr>
        <w:t>.</w:t>
      </w: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Форшлаг</w:t>
      </w:r>
    </w:p>
    <w:p w:rsidR="004B7D85" w:rsidRDefault="004B7D85">
      <w:pPr>
        <w:shd w:val="clear" w:color="auto" w:fill="FFFFFF"/>
        <w:jc w:val="center"/>
        <w:rPr>
          <w:b/>
          <w:sz w:val="22"/>
          <w:szCs w:val="22"/>
        </w:rPr>
      </w:pP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Слово «форшлаг» </w:t>
      </w:r>
      <w:r>
        <w:rPr>
          <w:i/>
          <w:iCs/>
          <w:sz w:val="22"/>
          <w:szCs w:val="22"/>
        </w:rPr>
        <w:t xml:space="preserve">(нем. </w:t>
      </w:r>
      <w:proofErr w:type="spellStart"/>
      <w:r>
        <w:rPr>
          <w:sz w:val="22"/>
          <w:szCs w:val="22"/>
          <w:lang w:val="en-US"/>
        </w:rPr>
        <w:t>vor</w:t>
      </w:r>
      <w:proofErr w:type="spellEnd"/>
      <w:r>
        <w:rPr>
          <w:sz w:val="22"/>
          <w:szCs w:val="22"/>
        </w:rPr>
        <w:t xml:space="preserve"> — пред, </w:t>
      </w:r>
      <w:proofErr w:type="spellStart"/>
      <w:r>
        <w:rPr>
          <w:sz w:val="22"/>
          <w:szCs w:val="22"/>
          <w:lang w:val="en-US"/>
        </w:rPr>
        <w:t>schlag</w:t>
      </w:r>
      <w:proofErr w:type="spellEnd"/>
      <w:r>
        <w:rPr>
          <w:sz w:val="22"/>
          <w:szCs w:val="22"/>
        </w:rPr>
        <w:t> — удар) означает</w:t>
      </w:r>
      <w:r w:rsidR="009B21A6">
        <w:rPr>
          <w:sz w:val="22"/>
          <w:szCs w:val="22"/>
        </w:rPr>
        <w:t xml:space="preserve"> звук, предшествующий основному</w:t>
      </w:r>
      <w:r>
        <w:rPr>
          <w:sz w:val="22"/>
          <w:szCs w:val="22"/>
        </w:rPr>
        <w:t xml:space="preserve">. </w:t>
      </w:r>
      <w:r w:rsidR="009B21A6" w:rsidRPr="009B21A6">
        <w:rPr>
          <w:sz w:val="22"/>
          <w:szCs w:val="22"/>
        </w:rPr>
        <w:t xml:space="preserve">С немецкого языка переводится как удар перед нотой. Данное мелодическое украшение может состоять из одного или нескольких звуков. </w:t>
      </w:r>
      <w:r>
        <w:rPr>
          <w:sz w:val="22"/>
          <w:szCs w:val="22"/>
        </w:rPr>
        <w:t xml:space="preserve">Обозначается форшлаг мелкой ноткой </w:t>
      </w:r>
      <w:r>
        <w:rPr>
          <w:sz w:val="22"/>
          <w:szCs w:val="22"/>
        </w:rPr>
        <w:t>меньшей длительности, чем основной звук, перед которым он записан:</w:t>
      </w:r>
    </w:p>
    <w:p w:rsidR="004B7D85" w:rsidRDefault="00420288">
      <w:pPr>
        <w:shd w:val="clear" w:color="auto" w:fill="FFFFFF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1270">
            <wp:extent cx="2646680" cy="422275"/>
            <wp:effectExtent l="0" t="0" r="0" b="0"/>
            <wp:docPr id="1" name="Рисунок 20" descr="1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 descr="116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9B21A6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Различают два вида форшлага — долгий (неперечеркнутый) и короткий (перечеркнутый). </w:t>
      </w:r>
      <w:r w:rsidR="00420288" w:rsidRPr="009B21A6">
        <w:rPr>
          <w:i/>
          <w:sz w:val="22"/>
          <w:szCs w:val="22"/>
        </w:rPr>
        <w:t>Долгий</w:t>
      </w:r>
      <w:r w:rsidR="00420288">
        <w:rPr>
          <w:sz w:val="22"/>
          <w:szCs w:val="22"/>
        </w:rPr>
        <w:t xml:space="preserve"> форшлаг (неперечёркнутый) представляет собой задержание— нисходящее или восходящее, разрешением которого является основной звук.</w:t>
      </w:r>
      <w:r w:rsidR="00420288">
        <w:rPr>
          <w:sz w:val="22"/>
          <w:szCs w:val="22"/>
        </w:rPr>
        <w:t xml:space="preserve"> Он исполняется всегда за счет длительности основного звука, отнимая половину длительности двухдольного и</w:t>
      </w:r>
      <w:r w:rsidR="00CC6F80">
        <w:rPr>
          <w:sz w:val="22"/>
          <w:szCs w:val="22"/>
        </w:rPr>
        <w:t xml:space="preserve">ли две трети трехдольного звука. </w:t>
      </w:r>
      <w:r w:rsidR="00CC6F80" w:rsidRPr="00CC6F80">
        <w:rPr>
          <w:sz w:val="22"/>
          <w:szCs w:val="22"/>
        </w:rPr>
        <w:t>Если основная нота указана с точкой, то длительность длинного форшлага составляет 2/3 длительности основного звука, а основной звук исполняется длительностью 1/3 от своей длительности.</w:t>
      </w:r>
      <w:bookmarkStart w:id="0" w:name="_GoBack"/>
      <w:bookmarkEnd w:id="0"/>
    </w:p>
    <w:p w:rsidR="004B7D85" w:rsidRDefault="00112393">
      <w:pPr>
        <w:shd w:val="clear" w:color="auto" w:fill="FFFFFF"/>
        <w:jc w:val="center"/>
        <w:rPr>
          <w:b/>
        </w:rPr>
      </w:pPr>
      <w:r w:rsidRPr="00112393">
        <w:rPr>
          <w:b/>
        </w:rPr>
        <w:drawing>
          <wp:inline distT="0" distB="0" distL="0" distR="0">
            <wp:extent cx="1685925" cy="674370"/>
            <wp:effectExtent l="0" t="0" r="9525" b="0"/>
            <wp:docPr id="19" name="Рисунок 19" descr="Ф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93">
        <w:t xml:space="preserve"> </w:t>
      </w:r>
      <w:r>
        <w:rPr>
          <w:noProof/>
        </w:rPr>
        <w:drawing>
          <wp:inline distT="0" distB="0" distL="0" distR="0">
            <wp:extent cx="1657350" cy="590017"/>
            <wp:effectExtent l="0" t="0" r="0" b="635"/>
            <wp:docPr id="20" name="Рисунок 20" descr="Ф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4" cy="60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93">
        <w:t xml:space="preserve"> </w:t>
      </w:r>
      <w:r>
        <w:rPr>
          <w:noProof/>
        </w:rPr>
        <w:drawing>
          <wp:inline distT="0" distB="0" distL="0" distR="0">
            <wp:extent cx="1666875" cy="580073"/>
            <wp:effectExtent l="0" t="0" r="0" b="0"/>
            <wp:docPr id="21" name="Рисунок 21" descr="Ф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76" cy="6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93">
        <w:t xml:space="preserve"> </w:t>
      </w:r>
      <w:r>
        <w:rPr>
          <w:noProof/>
        </w:rPr>
        <w:drawing>
          <wp:inline distT="0" distB="0" distL="0" distR="0">
            <wp:extent cx="1669612" cy="581025"/>
            <wp:effectExtent l="0" t="0" r="6985" b="0"/>
            <wp:docPr id="22" name="Рисунок 22" descr="Ф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99" cy="5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93" w:rsidRDefault="00420288" w:rsidP="00112393">
      <w:pPr>
        <w:shd w:val="clear" w:color="auto" w:fill="FFFFFF"/>
        <w:ind w:firstLine="708"/>
        <w:jc w:val="both"/>
        <w:rPr>
          <w:sz w:val="22"/>
          <w:szCs w:val="22"/>
        </w:rPr>
      </w:pPr>
      <w:r w:rsidRPr="009B21A6">
        <w:rPr>
          <w:i/>
          <w:sz w:val="22"/>
          <w:szCs w:val="22"/>
        </w:rPr>
        <w:t>Короткий (перечеркнутый)</w:t>
      </w:r>
      <w:r>
        <w:rPr>
          <w:sz w:val="22"/>
          <w:szCs w:val="22"/>
        </w:rPr>
        <w:t xml:space="preserve"> форшлаг исполняется за счет длительности предыдущего звука, отнимая от него минимальную част</w:t>
      </w:r>
      <w:r>
        <w:rPr>
          <w:sz w:val="22"/>
          <w:szCs w:val="22"/>
        </w:rPr>
        <w:t>ь его длительности или за счет данной длительности.</w:t>
      </w:r>
      <w:r w:rsidR="00112393" w:rsidRPr="00112393">
        <w:rPr>
          <w:sz w:val="22"/>
          <w:szCs w:val="22"/>
        </w:rPr>
        <w:t xml:space="preserve"> </w:t>
      </w:r>
      <w:r w:rsidR="00112393">
        <w:rPr>
          <w:sz w:val="22"/>
          <w:szCs w:val="22"/>
        </w:rPr>
        <w:t>Иногда короткий форшлаг включает в себя не один, а два, три, реже — большее число звуков, обозначаемых мелкими неперечеркнутыми нотками:</w:t>
      </w:r>
    </w:p>
    <w:p w:rsidR="004B7D85" w:rsidRDefault="004B7D85">
      <w:pPr>
        <w:shd w:val="clear" w:color="auto" w:fill="FFFFFF"/>
        <w:ind w:firstLine="708"/>
        <w:rPr>
          <w:sz w:val="22"/>
          <w:szCs w:val="22"/>
        </w:rPr>
      </w:pPr>
    </w:p>
    <w:p w:rsidR="004B7D85" w:rsidRDefault="00112393" w:rsidP="00112393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112393">
        <w:rPr>
          <w:rFonts w:ascii="Arial" w:hAnsi="Arial" w:cs="Arial"/>
          <w:b/>
          <w:bCs/>
          <w:sz w:val="18"/>
          <w:szCs w:val="18"/>
        </w:rPr>
        <w:drawing>
          <wp:inline distT="0" distB="0" distL="0" distR="0">
            <wp:extent cx="1828877" cy="635478"/>
            <wp:effectExtent l="0" t="0" r="0" b="0"/>
            <wp:docPr id="16" name="Рисунок 16" descr="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86" cy="6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93">
        <w:rPr>
          <w:rFonts w:ascii="Arial" w:hAnsi="Arial" w:cs="Arial"/>
          <w:b/>
          <w:bCs/>
          <w:sz w:val="18"/>
          <w:szCs w:val="18"/>
        </w:rPr>
        <w:drawing>
          <wp:inline distT="0" distB="0" distL="0" distR="0">
            <wp:extent cx="1709403" cy="631634"/>
            <wp:effectExtent l="0" t="0" r="5715" b="0"/>
            <wp:docPr id="17" name="Рисунок 17" descr="Ф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05" cy="6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93">
        <w:t xml:space="preserve"> </w:t>
      </w:r>
      <w:r w:rsidRPr="00112393">
        <w:rPr>
          <w:rFonts w:ascii="Arial" w:hAnsi="Arial" w:cs="Arial"/>
          <w:b/>
          <w:bCs/>
          <w:sz w:val="18"/>
          <w:szCs w:val="18"/>
        </w:rPr>
        <w:drawing>
          <wp:inline distT="0" distB="0" distL="0" distR="0">
            <wp:extent cx="1714500" cy="658368"/>
            <wp:effectExtent l="0" t="0" r="0" b="8890"/>
            <wp:docPr id="18" name="Рисунок 18" descr="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43" cy="6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>Отнимаемая от предыдущего звука длительность точно не регламентирована; короткий форшлаг, данный в предшествующем примере, может быть исполнен и так:</w:t>
      </w:r>
    </w:p>
    <w:p w:rsidR="004B7D85" w:rsidRDefault="00420288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7620" distL="0" distR="4445">
            <wp:extent cx="2110105" cy="430530"/>
            <wp:effectExtent l="0" t="0" r="0" b="0"/>
            <wp:docPr id="2" name="Рисунок 17" descr="1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7" descr="117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B7D85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Мордент</w:t>
      </w:r>
    </w:p>
    <w:p w:rsidR="004B7D85" w:rsidRDefault="004B7D85">
      <w:pPr>
        <w:shd w:val="clear" w:color="auto" w:fill="FFFFFF"/>
        <w:jc w:val="center"/>
        <w:rPr>
          <w:b/>
          <w:sz w:val="22"/>
          <w:szCs w:val="22"/>
        </w:rPr>
      </w:pP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Мелодическая фигура </w:t>
      </w:r>
      <w:r>
        <w:rPr>
          <w:i/>
          <w:sz w:val="22"/>
          <w:szCs w:val="22"/>
        </w:rPr>
        <w:t>мордент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(итал. </w:t>
      </w:r>
      <w:proofErr w:type="spellStart"/>
      <w:r>
        <w:rPr>
          <w:sz w:val="22"/>
          <w:szCs w:val="22"/>
          <w:lang w:val="en-US"/>
        </w:rPr>
        <w:t>mordente</w:t>
      </w:r>
      <w:proofErr w:type="spellEnd"/>
      <w:r>
        <w:rPr>
          <w:sz w:val="22"/>
          <w:szCs w:val="22"/>
        </w:rPr>
        <w:t xml:space="preserve">, буквально — кусающий, острый) представляет собой оборот из трех звуков: основного, вспомогательного и основного. </w:t>
      </w:r>
      <w:r w:rsidR="00E47BF4" w:rsidRPr="00E47BF4">
        <w:rPr>
          <w:sz w:val="22"/>
          <w:szCs w:val="22"/>
        </w:rPr>
        <w:t>Обозначается как острая волнистая линия.</w:t>
      </w:r>
      <w:r w:rsidR="00E47BF4">
        <w:rPr>
          <w:sz w:val="22"/>
          <w:szCs w:val="22"/>
        </w:rPr>
        <w:t xml:space="preserve"> </w:t>
      </w:r>
      <w:r w:rsidR="00E47BF4" w:rsidRPr="00E47BF4">
        <w:rPr>
          <w:sz w:val="22"/>
          <w:szCs w:val="22"/>
        </w:rPr>
        <w:t xml:space="preserve">Морденты подразделяются на </w:t>
      </w:r>
      <w:r w:rsidR="00E47BF4" w:rsidRPr="00E47BF4">
        <w:rPr>
          <w:sz w:val="22"/>
          <w:szCs w:val="22"/>
        </w:rPr>
        <w:t>просты</w:t>
      </w:r>
      <w:r w:rsidR="00E47BF4">
        <w:rPr>
          <w:sz w:val="22"/>
          <w:szCs w:val="22"/>
        </w:rPr>
        <w:t>е (с верхним вспомогательным звуком)</w:t>
      </w:r>
      <w:r w:rsidR="00E47BF4" w:rsidRPr="00E47BF4">
        <w:rPr>
          <w:sz w:val="22"/>
          <w:szCs w:val="22"/>
        </w:rPr>
        <w:t xml:space="preserve"> и</w:t>
      </w:r>
      <w:r w:rsidR="00E47BF4">
        <w:rPr>
          <w:sz w:val="22"/>
          <w:szCs w:val="22"/>
        </w:rPr>
        <w:t xml:space="preserve"> </w:t>
      </w:r>
      <w:r w:rsidR="00E47BF4" w:rsidRPr="00E47BF4">
        <w:rPr>
          <w:sz w:val="22"/>
          <w:szCs w:val="22"/>
        </w:rPr>
        <w:t>перечёркнуты</w:t>
      </w:r>
      <w:r w:rsidR="00E47BF4">
        <w:rPr>
          <w:sz w:val="22"/>
          <w:szCs w:val="22"/>
        </w:rPr>
        <w:t>е (с нижним)</w:t>
      </w:r>
      <w:r>
        <w:rPr>
          <w:sz w:val="22"/>
          <w:szCs w:val="22"/>
        </w:rPr>
        <w:t>:</w:t>
      </w:r>
    </w:p>
    <w:p w:rsidR="004B7D85" w:rsidRDefault="00420288">
      <w:pPr>
        <w:shd w:val="clear" w:color="auto" w:fill="FFFFFF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8890">
            <wp:extent cx="3077210" cy="518795"/>
            <wp:effectExtent l="0" t="0" r="0" b="0"/>
            <wp:docPr id="3" name="Рисунок 15" descr="1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" descr="117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 примере приведен </w:t>
      </w:r>
      <w:r w:rsidR="00E47BF4">
        <w:rPr>
          <w:sz w:val="22"/>
          <w:szCs w:val="22"/>
        </w:rPr>
        <w:t xml:space="preserve">простой </w:t>
      </w:r>
      <w:r>
        <w:rPr>
          <w:sz w:val="22"/>
          <w:szCs w:val="22"/>
        </w:rPr>
        <w:t>неперечеркнутый морден</w:t>
      </w:r>
      <w:r>
        <w:rPr>
          <w:sz w:val="22"/>
          <w:szCs w:val="22"/>
        </w:rPr>
        <w:t>т. Перечеркнутый отличается тем, что в нем участвует не верхний, а нижний вспомогательный звук:</w:t>
      </w:r>
    </w:p>
    <w:p w:rsidR="004B7D85" w:rsidRDefault="00420288">
      <w:pPr>
        <w:shd w:val="clear" w:color="auto" w:fill="FFFFFF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5715">
            <wp:extent cx="1784985" cy="422275"/>
            <wp:effectExtent l="0" t="0" r="0" b="0"/>
            <wp:docPr id="4" name="Рисунок 14" descr="1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117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Кроме простого мордента используется и двойной:</w:t>
      </w: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7620" distL="0" distR="1270">
            <wp:extent cx="2075180" cy="544830"/>
            <wp:effectExtent l="0" t="0" r="0" b="0"/>
            <wp:docPr id="5" name="Рисунок 13" descr="1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117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>Знак альтерации, стоящий над или под знаком мордента, относится к вспомогательному звуку:</w:t>
      </w: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4445">
            <wp:extent cx="4167505" cy="598170"/>
            <wp:effectExtent l="0" t="0" r="0" b="0"/>
            <wp:docPr id="6" name="Рисунок 12" descr="11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117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B7D85">
      <w:pPr>
        <w:shd w:val="clear" w:color="auto" w:fill="FFFFFF"/>
        <w:rPr>
          <w:b/>
        </w:rPr>
      </w:pPr>
    </w:p>
    <w:p w:rsidR="004B7D85" w:rsidRDefault="004B7D85">
      <w:pPr>
        <w:shd w:val="clear" w:color="auto" w:fill="FFFFFF"/>
        <w:rPr>
          <w:b/>
        </w:rPr>
      </w:pP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Группетто</w:t>
      </w:r>
    </w:p>
    <w:p w:rsidR="004B7D85" w:rsidRDefault="004B7D85">
      <w:pPr>
        <w:shd w:val="clear" w:color="auto" w:fill="FFFFFF"/>
        <w:jc w:val="center"/>
        <w:rPr>
          <w:b/>
          <w:sz w:val="22"/>
          <w:szCs w:val="22"/>
        </w:rPr>
      </w:pP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Эта</w:t>
      </w:r>
      <w:r>
        <w:rPr>
          <w:sz w:val="22"/>
          <w:szCs w:val="22"/>
        </w:rPr>
        <w:t xml:space="preserve"> мелодическая фигура представляет собой группу из четырех или пяти звуков, состоящую из основного звука и вспомогательных (верхнего и нижнего). </w:t>
      </w:r>
      <w:proofErr w:type="spellStart"/>
      <w:r>
        <w:rPr>
          <w:sz w:val="22"/>
          <w:szCs w:val="22"/>
        </w:rPr>
        <w:t>Четырехзвучное</w:t>
      </w:r>
      <w:proofErr w:type="spellEnd"/>
      <w:r>
        <w:rPr>
          <w:sz w:val="22"/>
          <w:szCs w:val="22"/>
        </w:rPr>
        <w:t xml:space="preserve"> группетто начинается с верхнего вспомогательного, за которым следуют основной звук, затем нижний </w:t>
      </w:r>
      <w:r>
        <w:rPr>
          <w:sz w:val="22"/>
          <w:szCs w:val="22"/>
        </w:rPr>
        <w:t>вспомогательный и опять основной:</w:t>
      </w:r>
    </w:p>
    <w:p w:rsidR="004B7D85" w:rsidRDefault="00420288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5715" distL="0" distR="0">
            <wp:extent cx="1239520" cy="413385"/>
            <wp:effectExtent l="0" t="0" r="0" b="0"/>
            <wp:docPr id="7" name="Рисунок 11" descr="11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 descr="117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Пятизвучное</w:t>
      </w:r>
      <w:proofErr w:type="spellEnd"/>
      <w:r>
        <w:rPr>
          <w:sz w:val="22"/>
          <w:szCs w:val="22"/>
        </w:rPr>
        <w:t xml:space="preserve"> группетто начинается с основного звука, за которым следует верхний вспомогательный и далее — как в </w:t>
      </w:r>
      <w:proofErr w:type="spellStart"/>
      <w:r>
        <w:rPr>
          <w:sz w:val="22"/>
          <w:szCs w:val="22"/>
        </w:rPr>
        <w:t>четырехзвучном</w:t>
      </w:r>
      <w:proofErr w:type="spellEnd"/>
      <w:r>
        <w:rPr>
          <w:sz w:val="22"/>
          <w:szCs w:val="22"/>
        </w:rPr>
        <w:t xml:space="preserve"> группетто:</w:t>
      </w:r>
    </w:p>
    <w:p w:rsidR="004B7D85" w:rsidRDefault="00420288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371600" cy="501015"/>
            <wp:effectExtent l="0" t="0" r="0" b="0"/>
            <wp:docPr id="8" name="Рисунок 10" descr="11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117j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B7D85">
      <w:pPr>
        <w:shd w:val="clear" w:color="auto" w:fill="FFFFFF"/>
        <w:rPr>
          <w:sz w:val="22"/>
          <w:szCs w:val="22"/>
        </w:rPr>
      </w:pP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Группетто обозначается знаком </w:t>
      </w:r>
      <w:r>
        <w:rPr>
          <w:noProof/>
        </w:rPr>
        <w:drawing>
          <wp:inline distT="0" distB="0" distL="0" distR="0">
            <wp:extent cx="158115" cy="96520"/>
            <wp:effectExtent l="0" t="0" r="0" b="0"/>
            <wp:docPr id="9" name="Рисунок 9" descr="11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117k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который ставится либо над нотой, либо между дву</w:t>
      </w:r>
      <w:r>
        <w:rPr>
          <w:sz w:val="22"/>
          <w:szCs w:val="22"/>
        </w:rPr>
        <w:t xml:space="preserve">х нот. Знак, стоящий над нотой, может означать как </w:t>
      </w:r>
      <w:proofErr w:type="spellStart"/>
      <w:r>
        <w:rPr>
          <w:sz w:val="22"/>
          <w:szCs w:val="22"/>
        </w:rPr>
        <w:t>пятизвучное</w:t>
      </w:r>
      <w:proofErr w:type="spellEnd"/>
      <w:r>
        <w:rPr>
          <w:sz w:val="22"/>
          <w:szCs w:val="22"/>
        </w:rPr>
        <w:t xml:space="preserve">, так и </w:t>
      </w:r>
      <w:proofErr w:type="spellStart"/>
      <w:r>
        <w:rPr>
          <w:sz w:val="22"/>
          <w:szCs w:val="22"/>
        </w:rPr>
        <w:t>четырехзвучное</w:t>
      </w:r>
      <w:proofErr w:type="spellEnd"/>
      <w:r>
        <w:rPr>
          <w:sz w:val="22"/>
          <w:szCs w:val="22"/>
        </w:rPr>
        <w:t xml:space="preserve"> группетто (чаще), исполняемое за счет длительности основного звука. Такое группетто занимает либо всю длительность основного звука, либо начальную часть этой длительности:</w:t>
      </w: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3175">
            <wp:extent cx="4378325" cy="633095"/>
            <wp:effectExtent l="0" t="0" r="0" b="0"/>
            <wp:docPr id="10" name="Рисунок 8" descr="1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8" descr="118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B7D85">
      <w:pPr>
        <w:shd w:val="clear" w:color="auto" w:fill="FFFFFF"/>
        <w:rPr>
          <w:sz w:val="22"/>
          <w:szCs w:val="22"/>
        </w:rPr>
      </w:pP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Знак, стоящий между двумя нотами, означает   либо </w:t>
      </w:r>
      <w:proofErr w:type="spellStart"/>
      <w:r>
        <w:rPr>
          <w:sz w:val="22"/>
          <w:szCs w:val="22"/>
        </w:rPr>
        <w:t>пятизвучное</w:t>
      </w:r>
      <w:proofErr w:type="spellEnd"/>
      <w:r>
        <w:rPr>
          <w:sz w:val="22"/>
          <w:szCs w:val="22"/>
        </w:rPr>
        <w:t xml:space="preserve"> группетто, занимающее всю длительность начального (основного) звука, либо </w:t>
      </w:r>
      <w:proofErr w:type="spellStart"/>
      <w:r>
        <w:rPr>
          <w:sz w:val="22"/>
          <w:szCs w:val="22"/>
        </w:rPr>
        <w:t>четырехзвучное</w:t>
      </w:r>
      <w:proofErr w:type="spellEnd"/>
      <w:r>
        <w:rPr>
          <w:sz w:val="22"/>
          <w:szCs w:val="22"/>
        </w:rPr>
        <w:t xml:space="preserve"> группетто, занимающее    конец длительности начального звука:</w:t>
      </w:r>
    </w:p>
    <w:p w:rsidR="004B7D85" w:rsidRDefault="004B7D85">
      <w:pPr>
        <w:shd w:val="clear" w:color="auto" w:fill="FFFFFF"/>
        <w:rPr>
          <w:sz w:val="22"/>
          <w:szCs w:val="22"/>
        </w:rPr>
      </w:pPr>
    </w:p>
    <w:p w:rsidR="004B7D85" w:rsidRDefault="00420288">
      <w:pPr>
        <w:shd w:val="clear" w:color="auto" w:fill="FFFFFF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343400" cy="615315"/>
            <wp:effectExtent l="0" t="0" r="0" b="0"/>
            <wp:docPr id="11" name="Рисунок 7" descr="1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 descr="118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Если знак стоит между двумя нотами о</w:t>
      </w:r>
      <w:r>
        <w:rPr>
          <w:sz w:val="22"/>
          <w:szCs w:val="22"/>
        </w:rPr>
        <w:t xml:space="preserve">динаковой высоты, </w:t>
      </w:r>
      <w:r w:rsidR="005D0CBD">
        <w:rPr>
          <w:sz w:val="22"/>
          <w:szCs w:val="22"/>
        </w:rPr>
        <w:t>то это 4хзвучное группетто</w:t>
      </w:r>
      <w:r>
        <w:rPr>
          <w:sz w:val="22"/>
          <w:szCs w:val="22"/>
        </w:rPr>
        <w:t xml:space="preserve">, как, </w:t>
      </w:r>
      <w:proofErr w:type="gramStart"/>
      <w:r>
        <w:rPr>
          <w:sz w:val="22"/>
          <w:szCs w:val="22"/>
        </w:rPr>
        <w:t>например</w:t>
      </w:r>
      <w:proofErr w:type="gramEnd"/>
      <w:r>
        <w:rPr>
          <w:sz w:val="22"/>
          <w:szCs w:val="22"/>
        </w:rPr>
        <w:t>:</w:t>
      </w:r>
    </w:p>
    <w:p w:rsidR="004B7D85" w:rsidRDefault="00420288">
      <w:pPr>
        <w:shd w:val="clear" w:color="auto" w:fill="FFFFFF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211320" cy="633095"/>
            <wp:effectExtent l="0" t="0" r="0" b="0"/>
            <wp:docPr id="12" name="Рисунок 6" descr="1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6" descr="118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Знаки альтерации, которые могут стоять над или под знаком группетто, относятся, соответственно, к верхнему или нижнему вспомогательным звукам:</w:t>
      </w:r>
    </w:p>
    <w:p w:rsidR="004B7D85" w:rsidRDefault="004B7D85">
      <w:pPr>
        <w:shd w:val="clear" w:color="auto" w:fill="FFFFFF"/>
        <w:rPr>
          <w:sz w:val="22"/>
          <w:szCs w:val="22"/>
        </w:rPr>
      </w:pP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7620" distL="0" distR="4445">
            <wp:extent cx="4167505" cy="659130"/>
            <wp:effectExtent l="0" t="0" r="0" b="0"/>
            <wp:docPr id="13" name="Рисунок 5" descr="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" descr="118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B7D85">
      <w:pPr>
        <w:shd w:val="clear" w:color="auto" w:fill="FFFFFF"/>
        <w:rPr>
          <w:b/>
        </w:rPr>
      </w:pP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Трель</w:t>
      </w:r>
    </w:p>
    <w:p w:rsidR="004B7D85" w:rsidRDefault="004B7D85">
      <w:pPr>
        <w:shd w:val="clear" w:color="auto" w:fill="FFFFFF"/>
        <w:jc w:val="center"/>
        <w:rPr>
          <w:b/>
          <w:sz w:val="22"/>
          <w:szCs w:val="22"/>
        </w:rPr>
      </w:pP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Трель представляет собой быстрое чередование основного и верхнего вспомогательного звуков. Трель обозначается начальными буквами слова «</w:t>
      </w:r>
      <w:proofErr w:type="spellStart"/>
      <w:r>
        <w:rPr>
          <w:sz w:val="22"/>
          <w:szCs w:val="22"/>
          <w:lang w:val="en-US"/>
        </w:rPr>
        <w:t>trillo</w:t>
      </w:r>
      <w:proofErr w:type="spellEnd"/>
      <w:r>
        <w:rPr>
          <w:sz w:val="22"/>
          <w:szCs w:val="22"/>
        </w:rPr>
        <w:t xml:space="preserve">» (от </w:t>
      </w:r>
      <w:r>
        <w:rPr>
          <w:i/>
          <w:iCs/>
          <w:sz w:val="22"/>
          <w:szCs w:val="22"/>
        </w:rPr>
        <w:t xml:space="preserve">итал. </w:t>
      </w:r>
      <w:proofErr w:type="spellStart"/>
      <w:r>
        <w:rPr>
          <w:sz w:val="22"/>
          <w:szCs w:val="22"/>
          <w:lang w:val="en-US"/>
        </w:rPr>
        <w:t>trillare</w:t>
      </w:r>
      <w:proofErr w:type="spellEnd"/>
      <w:r>
        <w:rPr>
          <w:sz w:val="22"/>
          <w:szCs w:val="22"/>
        </w:rPr>
        <w:t xml:space="preserve"> — дребезжать, колебать) — </w:t>
      </w:r>
      <w:proofErr w:type="spellStart"/>
      <w:r>
        <w:rPr>
          <w:i/>
          <w:iCs/>
          <w:sz w:val="22"/>
          <w:szCs w:val="22"/>
          <w:lang w:val="en-US"/>
        </w:rPr>
        <w:t>tr</w:t>
      </w:r>
      <w:proofErr w:type="spellEnd"/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которые ставятся всегда над нотой. Протяженность основного звук</w:t>
      </w:r>
      <w:r>
        <w:rPr>
          <w:sz w:val="22"/>
          <w:szCs w:val="22"/>
        </w:rPr>
        <w:t>а и определяет продолжительность трели:</w:t>
      </w:r>
    </w:p>
    <w:p w:rsidR="004B7D85" w:rsidRDefault="00420288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1270">
            <wp:extent cx="4475480" cy="615315"/>
            <wp:effectExtent l="0" t="0" r="0" b="0"/>
            <wp:docPr id="14" name="Рисунок 4" descr="1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" descr="118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Скорость исполнения трели (в приведенном примере — тридцать вторыми или шестнадцатыми) зависит от общего контекста, стиля произведения, темпа. Если необходимо, чтобы трель начиналась со вспомогательного звука, то п</w:t>
      </w:r>
      <w:r>
        <w:rPr>
          <w:sz w:val="22"/>
          <w:szCs w:val="22"/>
        </w:rPr>
        <w:t>еред основным звуком выставляется этот вспомогательный, обозначенный знаком короткого форшлага. В данном случае этот знак указывает на вспомогательный звук, входящий в длительность основного:</w:t>
      </w:r>
    </w:p>
    <w:p w:rsidR="004B7D85" w:rsidRDefault="00420288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3175">
            <wp:extent cx="2778125" cy="483870"/>
            <wp:effectExtent l="0" t="0" r="0" b="0"/>
            <wp:docPr id="15" name="Рисунок 3" descr="1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" descr="118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85" w:rsidRDefault="0042028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Знак альтерации относится к вспомогательному звуку.</w:t>
      </w:r>
    </w:p>
    <w:p w:rsidR="00E47BF4" w:rsidRDefault="00E47BF4">
      <w:pPr>
        <w:shd w:val="clear" w:color="auto" w:fill="FFFFFF"/>
        <w:jc w:val="both"/>
        <w:rPr>
          <w:sz w:val="22"/>
          <w:szCs w:val="22"/>
        </w:rPr>
      </w:pPr>
    </w:p>
    <w:p w:rsidR="00E47BF4" w:rsidRDefault="00E47BF4" w:rsidP="00E47BF4">
      <w:pPr>
        <w:shd w:val="clear" w:color="auto" w:fill="FFFFFF"/>
        <w:ind w:firstLine="851"/>
        <w:jc w:val="both"/>
      </w:pPr>
      <w:r>
        <w:t xml:space="preserve">Использование мелизмов как в инструментальной, так и вокальной музыке приобрело особую популярность в эпоху барокко. Музыка в период с XVI-XVIII века была наполнена изящными украшениями. Во многих произведениях Баха можно встретить морденты и трели. </w:t>
      </w:r>
    </w:p>
    <w:p w:rsidR="00E47BF4" w:rsidRDefault="00E47BF4" w:rsidP="00E47BF4">
      <w:pPr>
        <w:shd w:val="clear" w:color="auto" w:fill="FFFFFF"/>
        <w:ind w:firstLine="851"/>
        <w:jc w:val="both"/>
      </w:pPr>
      <w:r>
        <w:t>В те времена преобладал жанр «концерта». К особенностям жанра следует отнести момент состязания, в сольной каденции исполнитель должен был продемонстрировать не только виртуозность и блестящее владение инструментом, но и индивидуальный музыкальный стиль. Уместное применение мелизмов помогало добавить музыке живости, характера, а также показывало способность музыканта к искусной импровизации.</w:t>
      </w:r>
    </w:p>
    <w:p w:rsidR="00E47BF4" w:rsidRDefault="00E47BF4" w:rsidP="00E47BF4">
      <w:pPr>
        <w:shd w:val="clear" w:color="auto" w:fill="FFFFFF"/>
        <w:ind w:firstLine="851"/>
        <w:jc w:val="both"/>
      </w:pPr>
      <w:r>
        <w:t xml:space="preserve">В вокальной музыке, особенно в итальянской опере орнаментике придавалось сильное значение. Певцы обязательно должны были владеть приемами, помогающими с легкостью петь фиоритуры.  </w:t>
      </w:r>
    </w:p>
    <w:p w:rsidR="00E47BF4" w:rsidRDefault="00E47BF4" w:rsidP="00E47BF4">
      <w:pPr>
        <w:shd w:val="clear" w:color="auto" w:fill="FFFFFF"/>
        <w:ind w:firstLine="851"/>
        <w:jc w:val="both"/>
      </w:pPr>
      <w:r>
        <w:t xml:space="preserve">Бесчисленное количество орнаментальных и изысканных произведений можно встретить в эпоху Рококо. Обилие мелизмов преобладает в творчестве французских </w:t>
      </w:r>
      <w:proofErr w:type="spellStart"/>
      <w:r>
        <w:t>клавесинистов</w:t>
      </w:r>
      <w:proofErr w:type="spellEnd"/>
      <w:r>
        <w:t xml:space="preserve"> Франсуа </w:t>
      </w:r>
      <w:proofErr w:type="spellStart"/>
      <w:r>
        <w:t>Куперена</w:t>
      </w:r>
      <w:proofErr w:type="spellEnd"/>
      <w:r>
        <w:t xml:space="preserve"> и Жана Филиппа Рамо.</w:t>
      </w:r>
    </w:p>
    <w:p w:rsidR="00E47BF4" w:rsidRDefault="00E47BF4" w:rsidP="00E47BF4">
      <w:pPr>
        <w:shd w:val="clear" w:color="auto" w:fill="FFFFFF"/>
        <w:ind w:firstLine="851"/>
        <w:jc w:val="both"/>
      </w:pPr>
      <w:r>
        <w:t xml:space="preserve">В музыке романтизма </w:t>
      </w:r>
      <w:proofErr w:type="spellStart"/>
      <w:r>
        <w:t>мелизматика</w:t>
      </w:r>
      <w:proofErr w:type="spellEnd"/>
      <w:r>
        <w:t xml:space="preserve"> также нашла активное применение. В фортепианных миниатюрах </w:t>
      </w:r>
      <w:proofErr w:type="spellStart"/>
      <w:r>
        <w:t>Ференца</w:t>
      </w:r>
      <w:proofErr w:type="spellEnd"/>
      <w:r>
        <w:t xml:space="preserve"> Листа, Фредерика Шопена мелизмы помогали расцветить мелодию, сделать ее более проникновенной и трогательной.</w:t>
      </w:r>
    </w:p>
    <w:p w:rsidR="00E47BF4" w:rsidRDefault="00E47BF4" w:rsidP="00E47BF4">
      <w:pPr>
        <w:shd w:val="clear" w:color="auto" w:fill="FFFFFF"/>
        <w:ind w:firstLine="851"/>
        <w:jc w:val="both"/>
      </w:pPr>
      <w:r>
        <w:t>В современной музыке также можно услышать мелизмы. Так в джазе и блюзе, музыканты часто используют форшлаги и трели. Эти украшения особенно характерны для импровизаций.</w:t>
      </w:r>
    </w:p>
    <w:sectPr w:rsidR="00E47BF4">
      <w:pgSz w:w="11906" w:h="16838"/>
      <w:pgMar w:top="426" w:right="424" w:bottom="56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5"/>
    <w:rsid w:val="00112393"/>
    <w:rsid w:val="00420288"/>
    <w:rsid w:val="004B7D85"/>
    <w:rsid w:val="005D0CBD"/>
    <w:rsid w:val="009B21A6"/>
    <w:rsid w:val="00A85473"/>
    <w:rsid w:val="00CC6F80"/>
    <w:rsid w:val="00E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548F"/>
  <w15:docId w15:val="{993E4F3B-4603-4803-B0BD-06B1BF6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15898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11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RePack by Diakov</cp:lastModifiedBy>
  <cp:revision>10</cp:revision>
  <dcterms:created xsi:type="dcterms:W3CDTF">2013-09-30T16:49:00Z</dcterms:created>
  <dcterms:modified xsi:type="dcterms:W3CDTF">2020-04-25T09:06:00Z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