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Тема 11 Вводный септаккорд.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ab/>
      </w:r>
      <w:r>
        <w:rPr/>
        <w:t xml:space="preserve">Наряду с доминантовым септаккордом, широкое применение получил вводный септаккорд. </w:t>
      </w:r>
      <w:r>
        <w:rPr>
          <w:b/>
          <w:bCs/>
        </w:rPr>
        <w:t>Вводный септаккорд</w:t>
      </w:r>
      <w:r>
        <w:rPr/>
        <w:t xml:space="preserve"> - это аккорд из 4 звуков, расположенных по терциям,  строится на </w:t>
      </w:r>
      <w:r>
        <w:rPr>
          <w:lang w:val="en-US"/>
        </w:rPr>
        <w:t>VII</w:t>
      </w:r>
      <w:r>
        <w:rPr/>
        <w:t xml:space="preserve"> ступени натурального и гармонического мажора и гармонического минора. Так как </w:t>
      </w:r>
      <w:r>
        <w:rPr>
          <w:lang w:val="en-US"/>
        </w:rPr>
        <w:t>VII</w:t>
      </w:r>
      <w:r>
        <w:rPr/>
        <w:t xml:space="preserve"> ступень является вводной, то и септаккорд получил название вводный. </w:t>
      </w:r>
      <w:r>
        <w:rPr>
          <w:lang w:val="en-US"/>
        </w:rPr>
        <w:t>VII</w:t>
      </w:r>
      <w:r>
        <w:rPr/>
        <w:t>7 относится к доминантовой (</w:t>
      </w:r>
      <w:r>
        <w:rPr>
          <w:lang w:val="en-US"/>
        </w:rPr>
        <w:t>D</w:t>
      </w:r>
      <w:r>
        <w:rPr/>
        <w:t xml:space="preserve">) группе аккордов. </w:t>
      </w:r>
    </w:p>
    <w:p>
      <w:pPr>
        <w:pStyle w:val="Normal"/>
        <w:ind w:firstLine="708"/>
        <w:jc w:val="both"/>
        <w:rPr>
          <w:lang w:val="en-US"/>
        </w:rPr>
      </w:pPr>
      <w:r>
        <w:rPr/>
        <w:t xml:space="preserve">В натуральном мажоре это </w:t>
      </w:r>
      <w:r>
        <w:rPr>
          <w:b/>
        </w:rPr>
        <w:t>малый вводный септаккорд</w:t>
      </w:r>
      <w:r>
        <w:rPr/>
        <w:t xml:space="preserve">, его крайние звуки образуют малую септиму, он состоит из уменьшенного трезвучия с добавлением сверху большой терции (м3+м3+б3). В гармоническом мажоре и гармоническом миноре это </w:t>
      </w:r>
      <w:r>
        <w:rPr>
          <w:b/>
        </w:rPr>
        <w:t>уменьшенный вводный септаккорд</w:t>
      </w:r>
      <w:r>
        <w:rPr/>
        <w:t>, его крайние звуки образуют уменьшенную септиму, он состоит из уменьшенного трезвучия с добавлением сверху малой терции (м3+м3+м3). Вводные септаккорды обозначаются – VII7:</w:t>
      </w:r>
    </w:p>
    <w:p>
      <w:pPr>
        <w:pStyle w:val="Normal"/>
        <w:ind w:firstLine="708"/>
        <w:jc w:val="center"/>
        <w:rPr/>
      </w:pPr>
      <w:r>
        <w:rPr/>
        <w:drawing>
          <wp:inline distT="0" distB="0" distL="0" distR="0">
            <wp:extent cx="3201035" cy="8007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Звуки вводного септаккорда, считая от основного, называются: прима (основание аккорда), терция, квинта и септима (вершина аккорда). </w:t>
      </w:r>
      <w:r>
        <w:rPr>
          <w:lang w:val="en-US"/>
        </w:rPr>
        <w:t>VII</w:t>
      </w:r>
      <w:r>
        <w:rPr/>
        <w:t xml:space="preserve">7 – это диссонирующий аккорд. В его состав входят два диссонирующих интервала: </w:t>
      </w:r>
    </w:p>
    <w:p>
      <w:pPr>
        <w:pStyle w:val="Normal"/>
        <w:jc w:val="both"/>
        <w:rPr/>
      </w:pPr>
      <w:r>
        <w:rPr/>
        <w:t xml:space="preserve">м7 (или ум7) и ум5. В уменьшенном септаккорде содержится два тритона. </w:t>
      </w:r>
    </w:p>
    <w:p>
      <w:pPr>
        <w:pStyle w:val="Normal"/>
        <w:jc w:val="both"/>
        <w:rPr/>
      </w:pPr>
      <w:r>
        <w:rPr/>
        <w:t xml:space="preserve">Это неустойчивый аккорд, он требует разрешения. Имеет </w:t>
      </w:r>
      <w:r>
        <w:rPr>
          <w:b/>
        </w:rPr>
        <w:t>2 способа разрешения</w:t>
      </w:r>
      <w:r>
        <w:rPr/>
        <w:t>.</w:t>
      </w:r>
    </w:p>
    <w:p>
      <w:pPr>
        <w:pStyle w:val="Normal"/>
        <w:jc w:val="both"/>
        <w:rPr/>
      </w:pPr>
      <w:r>
        <w:rPr>
          <w:b/>
        </w:rPr>
        <w:t>1 способ:</w:t>
      </w:r>
      <w:r>
        <w:rPr/>
        <w:t xml:space="preserve"> </w:t>
      </w:r>
      <w:r>
        <w:rPr>
          <w:lang w:val="en-US"/>
        </w:rPr>
        <w:t>VII</w:t>
      </w:r>
      <w:r>
        <w:rPr/>
        <w:t>7 разрешается в тоническое трезвучие (Т5/3) с удвоенной терцией (чтобы избежать параллельных квинт).</w:t>
      </w:r>
    </w:p>
    <w:p>
      <w:pPr>
        <w:pStyle w:val="Normal"/>
        <w:jc w:val="both"/>
        <w:rPr/>
      </w:pPr>
      <w:r>
        <w:rPr/>
      </w:r>
    </w:p>
    <w:p>
      <w:pPr>
        <w:pStyle w:val="Normal"/>
        <w:shd w:val="clear" w:color="auto" w:fill="FFFFFF"/>
        <w:ind w:left="2124" w:hanging="0"/>
        <w:rPr>
          <w:b/>
          <w:b/>
        </w:rPr>
      </w:pPr>
      <w:r>
        <w:rPr/>
        <w:drawing>
          <wp:inline distT="0" distB="0" distL="0" distR="0">
            <wp:extent cx="3029585" cy="629285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ind w:left="2124" w:hanging="0"/>
        <w:rPr>
          <w:b/>
          <w:b/>
          <w:vertAlign w:val="subscript"/>
        </w:rPr>
      </w:pPr>
      <w:r>
        <w:rPr>
          <w:b/>
        </w:rPr>
        <w:t xml:space="preserve">       </w:t>
      </w:r>
      <w:r>
        <w:rPr>
          <w:b/>
          <w:lang w:val="de-DE"/>
        </w:rPr>
        <w:t>VII</w:t>
      </w:r>
      <w:r>
        <w:rPr>
          <w:b/>
          <w:vertAlign w:val="subscript"/>
        </w:rPr>
        <w:t>7</w:t>
      </w:r>
      <w:r>
        <w:rPr>
          <w:b/>
        </w:rPr>
        <w:t xml:space="preserve">      </w:t>
      </w:r>
      <w:r>
        <w:rPr>
          <w:b/>
          <w:lang w:val="de-DE"/>
        </w:rPr>
        <w:t>T</w:t>
      </w:r>
      <w:r>
        <w:rPr>
          <w:b/>
        </w:rPr>
        <w:t xml:space="preserve"> </w:t>
      </w:r>
      <w:r>
        <w:rPr>
          <w:b/>
          <w:vertAlign w:val="subscript"/>
        </w:rPr>
        <w:t>5/3</w:t>
      </w:r>
      <w:r>
        <w:rPr>
          <w:b/>
        </w:rPr>
        <w:t xml:space="preserve">     ум.</w:t>
      </w:r>
      <w:r>
        <w:rPr>
          <w:b/>
          <w:lang w:val="de-DE"/>
        </w:rPr>
        <w:t>V</w:t>
      </w:r>
      <w:r>
        <w:rPr>
          <w:b/>
        </w:rPr>
        <w:t>П</w:t>
      </w:r>
      <w:r>
        <w:rPr>
          <w:b/>
          <w:vertAlign w:val="subscript"/>
        </w:rPr>
        <w:t>7</w:t>
      </w:r>
      <w:r>
        <w:rPr>
          <w:rFonts w:cs="Arial" w:ascii="Arial" w:hAnsi="Arial"/>
          <w:b/>
        </w:rPr>
        <w:t xml:space="preserve">  </w:t>
      </w:r>
      <w:r>
        <w:rPr>
          <w:b/>
          <w:lang w:val="de-DE"/>
        </w:rPr>
        <w:t>T</w:t>
      </w:r>
      <w:r>
        <w:rPr>
          <w:b/>
        </w:rPr>
        <w:t xml:space="preserve"> </w:t>
      </w:r>
      <w:r>
        <w:rPr>
          <w:b/>
          <w:vertAlign w:val="subscript"/>
        </w:rPr>
        <w:t>5/3</w:t>
      </w:r>
      <w:r>
        <w:rPr>
          <w:rFonts w:cs="Arial" w:ascii="Arial" w:hAnsi="Arial"/>
          <w:b/>
        </w:rPr>
        <w:t xml:space="preserve">   </w:t>
      </w:r>
      <w:r>
        <w:rPr>
          <w:b/>
        </w:rPr>
        <w:t>ум.</w:t>
      </w:r>
      <w:r>
        <w:rPr>
          <w:b/>
          <w:lang w:val="de-DE"/>
        </w:rPr>
        <w:t>V</w:t>
      </w:r>
      <w:r>
        <w:rPr>
          <w:b/>
        </w:rPr>
        <w:t>П</w:t>
      </w:r>
      <w:r>
        <w:rPr>
          <w:b/>
          <w:vertAlign w:val="subscript"/>
        </w:rPr>
        <w:t>7</w:t>
      </w:r>
      <w:r>
        <w:rPr>
          <w:b/>
        </w:rPr>
        <w:t xml:space="preserve">  </w:t>
      </w:r>
      <w:r>
        <w:rPr>
          <w:b/>
          <w:lang w:val="de-DE"/>
        </w:rPr>
        <w:t>t</w:t>
      </w:r>
      <w:r>
        <w:rPr>
          <w:b/>
          <w:vertAlign w:val="subscript"/>
          <w:lang w:val="de-DE"/>
        </w:rPr>
        <w:t>5/3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Вводный септаккорд имеет три обращения, которые называются: </w:t>
      </w:r>
    </w:p>
    <w:p>
      <w:pPr>
        <w:pStyle w:val="Normal"/>
        <w:jc w:val="both"/>
        <w:rPr/>
      </w:pPr>
      <w:r>
        <w:rPr/>
        <w:t>1-е обращение квинтсекстаккордом (6/5), 2-е обращение терцквартаккордом (4/3) и 3-е обращение секундаккордом (2). Названия обращений основаны на интервалах, образующихся от нижнего звука аккорда к его основанию и вершине.</w:t>
      </w:r>
    </w:p>
    <w:p>
      <w:pPr>
        <w:pStyle w:val="Normal"/>
        <w:jc w:val="both"/>
        <w:rPr/>
      </w:pPr>
      <w:r>
        <w:rPr>
          <w:lang w:val="en-US"/>
        </w:rPr>
        <w:t>VII</w:t>
      </w:r>
      <w:r>
        <w:rPr/>
        <w:t xml:space="preserve"> 6/5 разрешается в Т6 с удвоенной терцией, </w:t>
      </w:r>
      <w:r>
        <w:rPr>
          <w:lang w:val="en-US"/>
        </w:rPr>
        <w:t>VII</w:t>
      </w:r>
      <w:r>
        <w:rPr/>
        <w:t xml:space="preserve"> 4/3 разрешается в развернутый Т6, </w:t>
      </w:r>
      <w:r>
        <w:rPr>
          <w:lang w:val="en-US"/>
        </w:rPr>
        <w:t>VII</w:t>
      </w:r>
      <w:r>
        <w:rPr/>
        <w:t>2 разрешается в Т6/4 с удвоенной терцией.</w:t>
      </w:r>
    </w:p>
    <w:p>
      <w:pPr>
        <w:pStyle w:val="Normal"/>
        <w:jc w:val="both"/>
        <w:rPr>
          <w:lang w:val="en-US"/>
        </w:rPr>
      </w:pPr>
      <w:r>
        <w:rPr/>
        <w:t xml:space="preserve">                                   </w:t>
      </w:r>
      <w:r>
        <w:rPr>
          <w:lang w:val="en-US"/>
        </w:rPr>
        <w:t>C-dur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601085" cy="562610"/>
            <wp:effectExtent l="0" t="0" r="0" b="0"/>
            <wp:docPr id="3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0"/>
          <w:szCs w:val="20"/>
        </w:rPr>
      </w:pPr>
      <w:r>
        <w:rPr/>
        <w:t xml:space="preserve">                                        </w:t>
      </w:r>
      <w:r>
        <w:rPr>
          <w:sz w:val="20"/>
          <w:szCs w:val="20"/>
        </w:rPr>
        <w:t>Ум</w:t>
      </w:r>
      <w:r>
        <w:rPr>
          <w:sz w:val="20"/>
          <w:szCs w:val="20"/>
          <w:lang w:val="en-US"/>
        </w:rPr>
        <w:t>VII</w:t>
      </w:r>
      <w:r>
        <w:rPr>
          <w:sz w:val="20"/>
          <w:szCs w:val="20"/>
        </w:rPr>
        <w:t xml:space="preserve">7    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5/3    Ум</w:t>
      </w:r>
      <w:r>
        <w:rPr>
          <w:sz w:val="20"/>
          <w:szCs w:val="20"/>
          <w:lang w:val="en-US"/>
        </w:rPr>
        <w:t>VII</w:t>
      </w:r>
      <w:r>
        <w:rPr>
          <w:sz w:val="20"/>
          <w:szCs w:val="20"/>
        </w:rPr>
        <w:t xml:space="preserve">6/5 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6      Ум</w:t>
      </w:r>
      <w:r>
        <w:rPr>
          <w:sz w:val="20"/>
          <w:szCs w:val="20"/>
          <w:lang w:val="en-US"/>
        </w:rPr>
        <w:t>VII</w:t>
      </w:r>
      <w:r>
        <w:rPr>
          <w:sz w:val="20"/>
          <w:szCs w:val="20"/>
        </w:rPr>
        <w:t xml:space="preserve">4/3  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6    Ум</w:t>
      </w:r>
      <w:r>
        <w:rPr>
          <w:sz w:val="20"/>
          <w:szCs w:val="20"/>
          <w:lang w:val="en-US"/>
        </w:rPr>
        <w:t>VII</w:t>
      </w:r>
      <w:r>
        <w:rPr>
          <w:sz w:val="20"/>
          <w:szCs w:val="20"/>
        </w:rPr>
        <w:t xml:space="preserve">2  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6/4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Септаккорд седьмой ступени (вводный септаккорд, Ум7, МУм7)</w:t>
      </w:r>
    </w:p>
    <w:p>
      <w:pPr>
        <w:pStyle w:val="Normal"/>
        <w:jc w:val="both"/>
        <w:rPr/>
      </w:pPr>
      <w:r>
        <w:rPr/>
      </w:r>
    </w:p>
    <w:tbl>
      <w:tblPr>
        <w:tblW w:w="101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06"/>
        <w:gridCol w:w="1900"/>
        <w:gridCol w:w="1440"/>
        <w:gridCol w:w="1560"/>
        <w:gridCol w:w="2832"/>
      </w:tblGrid>
      <w:tr>
        <w:trPr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Название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Обозначение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Ступень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Секунда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Разрешение</w:t>
            </w:r>
          </w:p>
        </w:tc>
      </w:tr>
      <w:tr>
        <w:trPr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Септаккорд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VII</w:t>
            </w:r>
            <w:r>
              <w:rPr/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нет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Т5</w:t>
            </w:r>
            <w:r>
              <w:rPr>
                <w:vertAlign w:val="subscript"/>
              </w:rPr>
              <w:t>3</w:t>
            </w:r>
            <w:r>
              <w:rPr/>
              <w:t xml:space="preserve"> (удвоенная </w:t>
            </w:r>
            <w:r>
              <w:rPr>
                <w:lang w:val="en-US"/>
              </w:rPr>
              <w:t>3</w:t>
            </w:r>
            <w:r>
              <w:rPr/>
              <w:t>)</w:t>
            </w:r>
          </w:p>
        </w:tc>
      </w:tr>
      <w:tr>
        <w:trPr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Квинтсекстаккорд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vertAlign w:val="subscript"/>
              </w:rPr>
            </w:pPr>
            <w:r>
              <w:rPr>
                <w:lang w:val="en-US"/>
              </w:rPr>
              <w:t>VII</w:t>
            </w:r>
            <w:r>
              <w:rPr/>
              <w:t>6</w:t>
            </w:r>
            <w:r>
              <w:rPr>
                <w:vertAlign w:val="subscript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вверху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Т6  (удвоенная 3)</w:t>
            </w:r>
          </w:p>
        </w:tc>
      </w:tr>
      <w:tr>
        <w:trPr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Терцквартаккорд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vertAlign w:val="subscript"/>
              </w:rPr>
            </w:pPr>
            <w:r>
              <w:rPr>
                <w:lang w:val="en-US"/>
              </w:rPr>
              <w:t>VII</w:t>
            </w:r>
            <w:r>
              <w:rPr/>
              <w:t>4</w:t>
            </w:r>
            <w:r>
              <w:rPr>
                <w:vertAlign w:val="sub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 середине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Т6  (развернут. удв.3)</w:t>
            </w:r>
          </w:p>
        </w:tc>
      </w:tr>
      <w:tr>
        <w:trPr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Секундаккорд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VII</w:t>
            </w:r>
            <w:r>
              <w:rPr/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внизу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Т6</w:t>
            </w:r>
            <w:r>
              <w:rPr>
                <w:vertAlign w:val="subscript"/>
              </w:rPr>
              <w:t>4</w:t>
            </w:r>
            <w:r>
              <w:rPr/>
              <w:t xml:space="preserve"> (удвоенная </w:t>
            </w:r>
            <w:r>
              <w:rPr>
                <w:lang w:val="en-US"/>
              </w:rPr>
              <w:t>3</w:t>
            </w:r>
            <w:r>
              <w:rPr/>
              <w:t>)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b/>
        </w:rPr>
        <w:t>2 способ:</w:t>
      </w:r>
      <w:r>
        <w:rPr/>
        <w:t xml:space="preserve"> Вводный септаккорд может разрешаться в тонику через доминанту, такое разрешение называется внутрифункциональным. Вводный септаккорд и его обращения переходят в доминантовый септаккорд и его обращения по правилу круга благодаря наличию 3 общих звуков, а 4-й идет поступенно вниз.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953260" cy="1696085"/>
            <wp:effectExtent l="0" t="0" r="0" b="0"/>
            <wp:docPr id="4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Внутрифункциональное разрешение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                      </w:t>
      </w:r>
      <w:r>
        <w:rPr/>
        <w:t>Правило круга                            Правило круга</w:t>
      </w:r>
    </w:p>
    <w:p>
      <w:pPr>
        <w:pStyle w:val="Normal"/>
        <w:jc w:val="both"/>
        <w:rPr/>
      </w:pPr>
      <w:r>
        <w:rPr/>
        <w:t xml:space="preserve">  </w:t>
      </w:r>
    </w:p>
    <w:p>
      <w:pPr>
        <w:pStyle w:val="Normal"/>
        <w:jc w:val="both"/>
        <w:rPr/>
      </w:pPr>
      <w:r>
        <w:rPr/>
        <w:t xml:space="preserve">                            </w:t>
      </w:r>
      <w:r>
        <w:rPr>
          <w:lang w:val="en-US"/>
        </w:rPr>
        <w:t>VII</w:t>
      </w:r>
      <w:r>
        <w:rPr/>
        <w:t xml:space="preserve">7 -  </w:t>
      </w:r>
      <w:r>
        <w:rPr>
          <w:lang w:val="en-US"/>
        </w:rPr>
        <w:t>D</w:t>
      </w:r>
      <w:r>
        <w:rPr/>
        <w:t>6</w:t>
      </w:r>
      <w:r>
        <w:rPr>
          <w:vertAlign w:val="subscript"/>
        </w:rPr>
        <w:t>5</w:t>
      </w:r>
      <w:r>
        <w:rPr/>
        <w:t xml:space="preserve"> - Т5</w:t>
      </w:r>
      <w:r>
        <w:rPr>
          <w:vertAlign w:val="subscript"/>
        </w:rPr>
        <w:t>3</w:t>
      </w:r>
      <w:r>
        <w:rPr/>
        <w:t xml:space="preserve">                         </w:t>
      </w:r>
      <w:r>
        <w:rPr>
          <w:lang w:val="en-US"/>
        </w:rPr>
        <w:t>II</w:t>
      </w:r>
      <w:r>
        <w:rPr/>
        <w:t xml:space="preserve">7  - </w:t>
      </w:r>
      <w:r>
        <w:rPr>
          <w:lang w:val="en-US"/>
        </w:rPr>
        <w:t>VII</w:t>
      </w:r>
      <w:r>
        <w:rPr/>
        <w:t>6</w:t>
      </w:r>
      <w:r>
        <w:rPr>
          <w:vertAlign w:val="subscript"/>
        </w:rPr>
        <w:t>5</w:t>
      </w:r>
      <w:r>
        <w:rPr/>
        <w:t xml:space="preserve"> - </w:t>
      </w:r>
      <w:r>
        <w:rPr>
          <w:lang w:val="en-US"/>
        </w:rPr>
        <w:t>D</w:t>
      </w:r>
      <w:r>
        <w:rPr/>
        <w:t>4</w:t>
      </w:r>
      <w:r>
        <w:rPr>
          <w:vertAlign w:val="subscript"/>
        </w:rPr>
        <w:t>3</w:t>
      </w:r>
      <w:r>
        <w:rPr/>
        <w:t xml:space="preserve"> - Т5</w:t>
      </w:r>
      <w:r>
        <w:rPr>
          <w:vertAlign w:val="subscript"/>
        </w:rPr>
        <w:t>3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                            </w:t>
      </w:r>
      <w:r>
        <w:rPr>
          <w:lang w:val="en-US"/>
        </w:rPr>
        <w:t>VII</w:t>
      </w:r>
      <w:r>
        <w:rPr/>
        <w:t>6</w:t>
      </w:r>
      <w:r>
        <w:rPr>
          <w:vertAlign w:val="subscript"/>
        </w:rPr>
        <w:t>5</w:t>
      </w:r>
      <w:r>
        <w:rPr/>
        <w:t xml:space="preserve"> - </w:t>
      </w:r>
      <w:r>
        <w:rPr>
          <w:lang w:val="en-US"/>
        </w:rPr>
        <w:t>D</w:t>
      </w:r>
      <w:r>
        <w:rPr/>
        <w:t>4</w:t>
      </w:r>
      <w:r>
        <w:rPr>
          <w:vertAlign w:val="subscript"/>
        </w:rPr>
        <w:t>3</w:t>
      </w:r>
      <w:r>
        <w:rPr/>
        <w:t xml:space="preserve"> - Т5</w:t>
      </w:r>
      <w:r>
        <w:rPr>
          <w:vertAlign w:val="subscript"/>
        </w:rPr>
        <w:t>3</w:t>
      </w:r>
      <w:r>
        <w:rPr/>
        <w:t xml:space="preserve">                         </w:t>
      </w:r>
      <w:r>
        <w:rPr>
          <w:lang w:val="en-US"/>
        </w:rPr>
        <w:t>II</w:t>
      </w:r>
      <w:r>
        <w:rPr/>
        <w:t>6</w:t>
      </w:r>
      <w:r>
        <w:rPr>
          <w:vertAlign w:val="subscript"/>
        </w:rPr>
        <w:t>5</w:t>
      </w:r>
      <w:r>
        <w:rPr/>
        <w:t xml:space="preserve"> - </w:t>
      </w:r>
      <w:r>
        <w:rPr>
          <w:lang w:val="en-US"/>
        </w:rPr>
        <w:t>VII</w:t>
      </w:r>
      <w:r>
        <w:rPr/>
        <w:t>4</w:t>
      </w:r>
      <w:r>
        <w:rPr>
          <w:vertAlign w:val="subscript"/>
        </w:rPr>
        <w:t>3</w:t>
      </w:r>
      <w:r>
        <w:rPr/>
        <w:t xml:space="preserve"> - </w:t>
      </w:r>
      <w:r>
        <w:rPr>
          <w:lang w:val="en-US"/>
        </w:rPr>
        <w:t>D</w:t>
      </w:r>
      <w:r>
        <w:rPr/>
        <w:t xml:space="preserve">2 - Т6  </w:t>
      </w:r>
    </w:p>
    <w:p>
      <w:pPr>
        <w:pStyle w:val="Normal"/>
        <w:jc w:val="both"/>
        <w:rPr/>
      </w:pPr>
      <w:r>
        <w:rPr/>
        <w:t xml:space="preserve">                            </w:t>
      </w:r>
      <w:r>
        <w:rPr>
          <w:lang w:val="en-US"/>
        </w:rPr>
        <w:t>VII</w:t>
      </w:r>
      <w:r>
        <w:rPr/>
        <w:t>4</w:t>
      </w:r>
      <w:r>
        <w:rPr>
          <w:vertAlign w:val="subscript"/>
        </w:rPr>
        <w:t>3</w:t>
      </w:r>
      <w:r>
        <w:rPr/>
        <w:t xml:space="preserve"> - </w:t>
      </w:r>
      <w:r>
        <w:rPr>
          <w:lang w:val="en-US"/>
        </w:rPr>
        <w:t>D</w:t>
      </w:r>
      <w:r>
        <w:rPr/>
        <w:t xml:space="preserve">2 - Т6                          </w:t>
      </w:r>
      <w:r>
        <w:rPr>
          <w:lang w:val="en-US"/>
        </w:rPr>
        <w:t>II</w:t>
      </w:r>
      <w:r>
        <w:rPr/>
        <w:t>4</w:t>
      </w:r>
      <w:r>
        <w:rPr>
          <w:vertAlign w:val="subscript"/>
        </w:rPr>
        <w:t>3</w:t>
      </w:r>
      <w:r>
        <w:rPr/>
        <w:t xml:space="preserve"> - </w:t>
      </w:r>
      <w:r>
        <w:rPr>
          <w:lang w:val="en-US"/>
        </w:rPr>
        <w:t>VII</w:t>
      </w:r>
      <w:r>
        <w:rPr/>
        <w:t xml:space="preserve">2 - </w:t>
      </w:r>
      <w:r>
        <w:rPr>
          <w:lang w:val="en-US"/>
        </w:rPr>
        <w:t>D</w:t>
      </w:r>
      <w:r>
        <w:rPr/>
        <w:t>7 - Т5</w:t>
      </w:r>
      <w:r>
        <w:rPr>
          <w:vertAlign w:val="subscript"/>
        </w:rPr>
        <w:t>3</w:t>
      </w:r>
    </w:p>
    <w:p>
      <w:pPr>
        <w:pStyle w:val="Normal"/>
        <w:jc w:val="both"/>
        <w:rPr/>
      </w:pPr>
      <w:r>
        <w:rPr/>
        <w:t xml:space="preserve">                            </w:t>
      </w:r>
      <w:r>
        <w:rPr>
          <w:lang w:val="en-US"/>
        </w:rPr>
        <w:t>VII</w:t>
      </w:r>
      <w:r>
        <w:rPr/>
        <w:t xml:space="preserve">2 - </w:t>
      </w:r>
      <w:r>
        <w:rPr>
          <w:lang w:val="en-US"/>
        </w:rPr>
        <w:t>D</w:t>
      </w:r>
      <w:r>
        <w:rPr/>
        <w:t>7 - Т5</w:t>
      </w:r>
      <w:r>
        <w:rPr>
          <w:vertAlign w:val="subscript"/>
        </w:rPr>
        <w:t>3</w:t>
      </w:r>
      <w:r>
        <w:rPr/>
        <w:t xml:space="preserve">                          </w:t>
      </w:r>
      <w:r>
        <w:rPr>
          <w:lang w:val="en-US"/>
        </w:rPr>
        <w:t>II</w:t>
      </w:r>
      <w:r>
        <w:rPr/>
        <w:t xml:space="preserve">2 - </w:t>
      </w:r>
      <w:r>
        <w:rPr>
          <w:lang w:val="en-US"/>
        </w:rPr>
        <w:t>VII</w:t>
      </w:r>
      <w:r>
        <w:rPr/>
        <w:t xml:space="preserve">7 -  </w:t>
      </w:r>
      <w:r>
        <w:rPr>
          <w:lang w:val="en-US"/>
        </w:rPr>
        <w:t>D</w:t>
      </w:r>
      <w:r>
        <w:rPr/>
        <w:t>6</w:t>
      </w:r>
      <w:r>
        <w:rPr>
          <w:vertAlign w:val="subscript"/>
        </w:rPr>
        <w:t>5</w:t>
      </w:r>
      <w:r>
        <w:rPr/>
        <w:t xml:space="preserve"> - Т5</w:t>
      </w:r>
      <w:r>
        <w:rPr>
          <w:vertAlign w:val="subscript"/>
        </w:rPr>
        <w:t>3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lang w:val="en-US"/>
        </w:rPr>
      </w:pPr>
      <w:r>
        <w:rPr/>
        <w:t xml:space="preserve">                              </w:t>
      </w:r>
      <w:r>
        <w:rPr>
          <w:lang w:val="en-US"/>
        </w:rPr>
        <w:t>C-dur</w:t>
      </w:r>
    </w:p>
    <w:p>
      <w:pPr>
        <w:pStyle w:val="Normal"/>
        <w:shd w:val="clear" w:color="auto" w:fill="FFFFFF"/>
        <w:ind w:left="1416" w:hanging="0"/>
        <w:rPr>
          <w:b/>
          <w:b/>
          <w:bCs/>
          <w:lang w:val="de-DE"/>
        </w:rPr>
      </w:pPr>
      <w:r>
        <w:rPr/>
        <w:drawing>
          <wp:inline distT="0" distB="0" distL="0" distR="0">
            <wp:extent cx="4315460" cy="543560"/>
            <wp:effectExtent l="0" t="0" r="0" b="0"/>
            <wp:docPr id="5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ind w:left="1416" w:hanging="0"/>
        <w:rPr>
          <w:b/>
          <w:b/>
          <w:vertAlign w:val="subscript"/>
          <w:lang w:val="de-DE"/>
        </w:rPr>
      </w:pPr>
      <w:r>
        <w:rPr>
          <w:b/>
          <w:lang w:val="de-DE"/>
        </w:rPr>
        <w:t xml:space="preserve">  </w:t>
      </w:r>
      <w:r>
        <w:rPr>
          <w:b/>
        </w:rPr>
        <w:t>ум</w:t>
      </w:r>
      <w:r>
        <w:rPr>
          <w:b/>
          <w:lang w:val="de-DE"/>
        </w:rPr>
        <w:t>VII</w:t>
      </w:r>
      <w:r>
        <w:rPr>
          <w:b/>
          <w:vertAlign w:val="subscript"/>
          <w:lang w:val="de-DE"/>
        </w:rPr>
        <w:t xml:space="preserve">7   </w:t>
      </w:r>
      <w:r>
        <w:rPr>
          <w:b/>
          <w:lang w:val="de-DE"/>
        </w:rPr>
        <w:t>D</w:t>
      </w:r>
      <w:r>
        <w:rPr>
          <w:b/>
          <w:vertAlign w:val="subscript"/>
          <w:lang w:val="de-DE"/>
        </w:rPr>
        <w:t xml:space="preserve">6/5 </w:t>
      </w:r>
      <w:r>
        <w:rPr>
          <w:b/>
          <w:lang w:val="de-DE"/>
        </w:rPr>
        <w:t xml:space="preserve"> T</w:t>
      </w:r>
      <w:r>
        <w:rPr>
          <w:b/>
          <w:vertAlign w:val="subscript"/>
          <w:lang w:val="de-DE"/>
        </w:rPr>
        <w:t>5/3</w:t>
      </w:r>
      <w:r>
        <w:rPr>
          <w:b/>
          <w:lang w:val="de-DE"/>
        </w:rPr>
        <w:t xml:space="preserve">  VII</w:t>
      </w:r>
      <w:r>
        <w:rPr>
          <w:b/>
          <w:vertAlign w:val="subscript"/>
          <w:lang w:val="de-DE"/>
        </w:rPr>
        <w:t>6/5</w:t>
      </w:r>
      <w:r>
        <w:rPr>
          <w:b/>
          <w:lang w:val="de-DE"/>
        </w:rPr>
        <w:t xml:space="preserve"> D</w:t>
      </w:r>
      <w:r>
        <w:rPr>
          <w:b/>
          <w:vertAlign w:val="subscript"/>
          <w:lang w:val="de-DE"/>
        </w:rPr>
        <w:t xml:space="preserve">4/3 </w:t>
      </w:r>
      <w:r>
        <w:rPr>
          <w:b/>
          <w:lang w:val="de-DE"/>
        </w:rPr>
        <w:t>T</w:t>
      </w:r>
      <w:r>
        <w:rPr>
          <w:b/>
          <w:vertAlign w:val="subscript"/>
          <w:lang w:val="de-DE"/>
        </w:rPr>
        <w:t>5/3</w:t>
      </w:r>
      <w:r>
        <w:rPr>
          <w:b/>
          <w:lang w:val="de-DE"/>
        </w:rPr>
        <w:t xml:space="preserve">  </w:t>
      </w:r>
      <w:r>
        <w:rPr>
          <w:b/>
          <w:lang w:val="en-US"/>
        </w:rPr>
        <w:t xml:space="preserve"> </w:t>
      </w:r>
      <w:r>
        <w:rPr>
          <w:b/>
          <w:lang w:val="de-DE"/>
        </w:rPr>
        <w:t>VII</w:t>
      </w:r>
      <w:r>
        <w:rPr>
          <w:b/>
          <w:vertAlign w:val="subscript"/>
          <w:lang w:val="de-DE"/>
        </w:rPr>
        <w:t xml:space="preserve"> 4/3</w:t>
      </w:r>
      <w:r>
        <w:rPr>
          <w:b/>
          <w:lang w:val="de-DE"/>
        </w:rPr>
        <w:t xml:space="preserve"> D</w:t>
      </w:r>
      <w:r>
        <w:rPr>
          <w:b/>
          <w:vertAlign w:val="subscript"/>
          <w:lang w:val="de-DE"/>
        </w:rPr>
        <w:t xml:space="preserve">2 </w:t>
      </w:r>
      <w:r>
        <w:rPr>
          <w:b/>
          <w:lang w:val="de-DE"/>
        </w:rPr>
        <w:t xml:space="preserve"> T</w:t>
      </w:r>
      <w:r>
        <w:rPr>
          <w:b/>
          <w:vertAlign w:val="subscript"/>
          <w:lang w:val="de-DE"/>
        </w:rPr>
        <w:t>6</w:t>
      </w:r>
      <w:r>
        <w:rPr>
          <w:b/>
          <w:lang w:val="de-DE"/>
        </w:rPr>
        <w:t xml:space="preserve">   </w:t>
      </w:r>
      <w:r>
        <w:rPr>
          <w:b/>
          <w:lang w:val="en-US"/>
        </w:rPr>
        <w:t xml:space="preserve">    </w:t>
      </w:r>
      <w:r>
        <w:rPr>
          <w:b/>
          <w:lang w:val="de-DE"/>
        </w:rPr>
        <w:t>VII</w:t>
      </w:r>
      <w:r>
        <w:rPr>
          <w:b/>
          <w:vertAlign w:val="subscript"/>
          <w:lang w:val="de-DE"/>
        </w:rPr>
        <w:t xml:space="preserve">2   </w:t>
      </w:r>
      <w:r>
        <w:rPr>
          <w:b/>
          <w:lang w:val="de-DE"/>
        </w:rPr>
        <w:t xml:space="preserve"> D</w:t>
      </w:r>
      <w:r>
        <w:rPr>
          <w:b/>
          <w:vertAlign w:val="subscript"/>
          <w:lang w:val="de-DE"/>
        </w:rPr>
        <w:t xml:space="preserve">7     </w:t>
      </w:r>
      <w:r>
        <w:rPr>
          <w:b/>
          <w:lang w:val="de-DE"/>
        </w:rPr>
        <w:t>T</w:t>
      </w:r>
      <w:r>
        <w:rPr>
          <w:b/>
          <w:vertAlign w:val="subscript"/>
          <w:lang w:val="de-DE"/>
        </w:rPr>
        <w:t>5/3</w:t>
      </w:r>
    </w:p>
    <w:p>
      <w:pPr>
        <w:pStyle w:val="Normal"/>
        <w:jc w:val="center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  <w:t xml:space="preserve">                 </w:t>
      </w:r>
    </w:p>
    <w:p>
      <w:pPr>
        <w:pStyle w:val="Normal"/>
        <w:rPr/>
      </w:pPr>
      <w:bookmarkStart w:id="0" w:name="__DdeLink__634_1717882790"/>
      <w:r>
        <w:rPr/>
        <w:t>Домашнее задание к 31.03 или 1.04.2020: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Строить </w:t>
      </w:r>
      <w:r>
        <w:rPr>
          <w:b/>
          <w:lang w:val="de-DE"/>
        </w:rPr>
        <w:t>VII</w:t>
      </w:r>
      <w:r>
        <w:rPr>
          <w:b/>
          <w:vertAlign w:val="subscript"/>
          <w:lang w:val="de-DE"/>
        </w:rPr>
        <w:t>7</w:t>
      </w:r>
      <w:r>
        <w:rPr>
          <w:b/>
          <w:vertAlign w:val="subscript"/>
        </w:rPr>
        <w:t xml:space="preserve"> </w:t>
      </w:r>
      <w:r>
        <w:rPr/>
        <w:t>и его обращения с разрешением по 1 способу в басовом ключе в тон-ти фа диез минор, Ля бемоль мажор</w:t>
      </w:r>
    </w:p>
    <w:p>
      <w:pPr>
        <w:pStyle w:val="Normal"/>
        <w:numPr>
          <w:ilvl w:val="0"/>
          <w:numId w:val="1"/>
        </w:numPr>
        <w:rPr/>
      </w:pPr>
      <w:r>
        <w:rPr/>
        <w:t>Строить VII7 и его обращения с разрешением по 2 способу в скрипичном ключе в тон-ти Си мажор, ми бемоль мин</w:t>
      </w:r>
      <w:bookmarkStart w:id="1" w:name="_GoBack"/>
      <w:bookmarkEnd w:id="1"/>
      <w:r>
        <w:rPr/>
        <w:t>ор</w:t>
      </w:r>
      <w:bookmarkEnd w:id="0"/>
    </w:p>
    <w:p>
      <w:pPr>
        <w:pStyle w:val="Normal"/>
        <w:numPr>
          <w:ilvl w:val="0"/>
          <w:numId w:val="1"/>
        </w:numPr>
        <w:rPr/>
      </w:pPr>
      <w:r>
        <w:rPr/>
        <w:t>Выучить теоретический материал.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508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49636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qFormat/>
    <w:rsid w:val="0049636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5d515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LibreOffice/6.0.5.2$Windows_X86_64 LibreOffice_project/54c8cbb85f300ac59db32fe8a675ff7683cd5a16</Application>
  <Pages>2</Pages>
  <Words>446</Words>
  <Characters>2539</Characters>
  <CharactersWithSpaces>3400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2013-09-28T10:02:00Z</dcterms:created>
  <dc:creator>Елена</dc:creator>
  <dc:description/>
  <dc:language>ru-RU</dc:language>
  <cp:lastModifiedBy/>
  <cp:lastPrinted>2013-11-17T14:55:00Z</cp:lastPrinted>
  <dcterms:modified xsi:type="dcterms:W3CDTF">2020-03-25T10:13:22Z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