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8F" w:rsidRDefault="000A388F" w:rsidP="000A388F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24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388F" w:rsidRPr="00A83300" w:rsidRDefault="000A388F" w:rsidP="000A388F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Almira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munirova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388F" w:rsidRDefault="000A388F" w:rsidP="000A388F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88F" w:rsidRPr="00F2564A" w:rsidRDefault="000A388F" w:rsidP="000A388F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 Д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 w:rsidRPr="00B47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психологии периода взрослости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0A388F" w:rsidRDefault="000A388F" w:rsidP="000A38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0A388F" w:rsidRPr="001F68E6" w:rsidRDefault="000A388F" w:rsidP="000A38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краткий конспект в тетради (ведущий вид деятельности, социальная ситуация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новообразование  и</w:t>
      </w: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зрелости</w:t>
      </w:r>
      <w:r w:rsidRPr="001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388F" w:rsidRPr="00C3634F" w:rsidRDefault="000A388F" w:rsidP="000A38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>Сравните кризис тридцати лет и сорока лет, заполнив таблицу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C3634F">
        <w:rPr>
          <w:rFonts w:ascii="Times New Roman" w:hAnsi="Times New Roman" w:cs="Times New Roman"/>
          <w:sz w:val="28"/>
          <w:szCs w:val="28"/>
        </w:rPr>
        <w:t>. В чем специфика возрастных кризисов взрослых?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15"/>
        <w:gridCol w:w="4786"/>
      </w:tblGrid>
      <w:tr w:rsidR="000A388F" w:rsidRPr="00C3634F" w:rsidTr="00195282">
        <w:tc>
          <w:tcPr>
            <w:tcW w:w="4785" w:type="dxa"/>
            <w:gridSpan w:val="2"/>
          </w:tcPr>
          <w:p w:rsidR="000A388F" w:rsidRPr="00C3634F" w:rsidRDefault="000A388F" w:rsidP="0019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Кризис тридцати лет</w:t>
            </w:r>
          </w:p>
        </w:tc>
        <w:tc>
          <w:tcPr>
            <w:tcW w:w="4786" w:type="dxa"/>
          </w:tcPr>
          <w:p w:rsidR="000A388F" w:rsidRPr="00C3634F" w:rsidRDefault="000A388F" w:rsidP="0019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Кризис сорока лет</w:t>
            </w:r>
          </w:p>
        </w:tc>
      </w:tr>
      <w:tr w:rsidR="000A388F" w:rsidRPr="00C3634F" w:rsidTr="00195282">
        <w:tc>
          <w:tcPr>
            <w:tcW w:w="9571" w:type="dxa"/>
            <w:gridSpan w:val="3"/>
          </w:tcPr>
          <w:p w:rsidR="000A388F" w:rsidRPr="00C3634F" w:rsidRDefault="000A388F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</w:p>
        </w:tc>
      </w:tr>
      <w:tr w:rsidR="000A388F" w:rsidRPr="00C3634F" w:rsidTr="00195282">
        <w:trPr>
          <w:trHeight w:val="315"/>
        </w:trPr>
        <w:tc>
          <w:tcPr>
            <w:tcW w:w="4785" w:type="dxa"/>
            <w:gridSpan w:val="2"/>
          </w:tcPr>
          <w:p w:rsidR="000A388F" w:rsidRPr="00C3634F" w:rsidRDefault="000A388F" w:rsidP="0019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88F" w:rsidRPr="00C3634F" w:rsidRDefault="000A388F" w:rsidP="0019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8F" w:rsidRPr="00C3634F" w:rsidTr="00195282">
        <w:trPr>
          <w:trHeight w:val="252"/>
        </w:trPr>
        <w:tc>
          <w:tcPr>
            <w:tcW w:w="9571" w:type="dxa"/>
            <w:gridSpan w:val="3"/>
          </w:tcPr>
          <w:p w:rsidR="000A388F" w:rsidRPr="00C3634F" w:rsidRDefault="000A388F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Отличия</w:t>
            </w:r>
          </w:p>
        </w:tc>
      </w:tr>
      <w:tr w:rsidR="000A388F" w:rsidTr="00195282">
        <w:trPr>
          <w:trHeight w:val="270"/>
        </w:trPr>
        <w:tc>
          <w:tcPr>
            <w:tcW w:w="4770" w:type="dxa"/>
          </w:tcPr>
          <w:p w:rsidR="000A388F" w:rsidRDefault="000A388F" w:rsidP="00195282">
            <w:pPr>
              <w:jc w:val="center"/>
            </w:pPr>
          </w:p>
        </w:tc>
        <w:tc>
          <w:tcPr>
            <w:tcW w:w="4801" w:type="dxa"/>
            <w:gridSpan w:val="2"/>
          </w:tcPr>
          <w:p w:rsidR="000A388F" w:rsidRDefault="000A388F" w:rsidP="00195282">
            <w:pPr>
              <w:jc w:val="center"/>
            </w:pPr>
          </w:p>
        </w:tc>
      </w:tr>
    </w:tbl>
    <w:p w:rsidR="000A388F" w:rsidRDefault="000A388F" w:rsidP="000A38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</w:t>
      </w:r>
      <w:r w:rsidRPr="00A83300">
        <w:rPr>
          <w:rFonts w:ascii="Times New Roman" w:hAnsi="Times New Roman" w:cs="Times New Roman"/>
          <w:sz w:val="28"/>
          <w:szCs w:val="28"/>
        </w:rPr>
        <w:t>, верно или неверно каждое из следующих утверждений:</w:t>
      </w:r>
    </w:p>
    <w:p w:rsidR="000A388F" w:rsidRDefault="000A388F" w:rsidP="000A388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 xml:space="preserve"> А. Социальный конте</w:t>
      </w:r>
      <w:proofErr w:type="gramStart"/>
      <w:r w:rsidRPr="00A83300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A83300">
        <w:rPr>
          <w:rFonts w:ascii="Times New Roman" w:hAnsi="Times New Roman" w:cs="Times New Roman"/>
          <w:sz w:val="28"/>
          <w:szCs w:val="28"/>
        </w:rPr>
        <w:t>едней взрослости – это друзья и семья</w:t>
      </w:r>
    </w:p>
    <w:p w:rsidR="000A388F" w:rsidRDefault="000A388F" w:rsidP="000A388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 xml:space="preserve"> Б. Период ранней взрослости – это этап завершения профессиональной подготовки</w:t>
      </w:r>
    </w:p>
    <w:p w:rsidR="000A388F" w:rsidRDefault="000A388F" w:rsidP="000A388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 xml:space="preserve"> В. Успешность жизненного пути взрослого не зависит от семейных отношений </w:t>
      </w:r>
    </w:p>
    <w:p w:rsidR="000A388F" w:rsidRPr="00A83300" w:rsidRDefault="000A388F" w:rsidP="000A388F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300">
        <w:rPr>
          <w:rFonts w:ascii="Times New Roman" w:hAnsi="Times New Roman" w:cs="Times New Roman"/>
          <w:sz w:val="28"/>
          <w:szCs w:val="28"/>
        </w:rPr>
        <w:t>Г. Психологическим критерием перехода от новорожденности к младенчеству является комплекс оживления.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5494C" w:rsidRDefault="000A388F"/>
    <w:sectPr w:rsidR="005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1430E1E2"/>
    <w:lvl w:ilvl="0" w:tplc="49220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27"/>
    <w:rsid w:val="000A388F"/>
    <w:rsid w:val="008041DA"/>
    <w:rsid w:val="00820D27"/>
    <w:rsid w:val="00C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2020-03-25T05:59:00Z</dcterms:created>
  <dcterms:modified xsi:type="dcterms:W3CDTF">2020-03-25T06:01:00Z</dcterms:modified>
</cp:coreProperties>
</file>